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9A693" w14:textId="77777777" w:rsidR="002776EE" w:rsidRDefault="002776EE" w:rsidP="000A2D32">
      <w:pPr>
        <w:pStyle w:val="Heading1"/>
        <w:spacing w:after="0" w:line="360" w:lineRule="auto"/>
      </w:pPr>
      <w:r>
        <w:rPr>
          <w:noProof/>
        </w:rPr>
        <w:drawing>
          <wp:inline distT="0" distB="0" distL="0" distR="0" wp14:anchorId="406BBEC3" wp14:editId="53C3CD86">
            <wp:extent cx="2762491" cy="1857375"/>
            <wp:effectExtent l="0" t="0" r="0" b="0"/>
            <wp:docPr id="1" name="Picture 1" title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OE-v-color300 (Official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298" cy="187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3C094" w14:textId="233A227C" w:rsidR="000A2D32" w:rsidRDefault="000A2D32" w:rsidP="000A2D32">
      <w:pPr>
        <w:pStyle w:val="Heading1"/>
        <w:spacing w:after="0" w:line="360" w:lineRule="auto"/>
      </w:pPr>
      <w:r>
        <w:t xml:space="preserve">Tips for Incorporating </w:t>
      </w:r>
    </w:p>
    <w:p w14:paraId="773FD0D1" w14:textId="77777777" w:rsidR="00103808" w:rsidRDefault="000A2D32" w:rsidP="00341E24">
      <w:pPr>
        <w:pStyle w:val="Heading1"/>
        <w:spacing w:after="0" w:line="480" w:lineRule="auto"/>
      </w:pPr>
      <w:r>
        <w:t>Harvest of the Month into Salad Bars</w:t>
      </w:r>
    </w:p>
    <w:p w14:paraId="663AE712" w14:textId="77777777" w:rsidR="000A2D32" w:rsidRPr="000A2D32" w:rsidRDefault="000A2D32" w:rsidP="00927676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 xml:space="preserve">Start with familiar foods and then branch out with a “Try It Tuesday” or similar promotion. </w:t>
      </w:r>
    </w:p>
    <w:p w14:paraId="7CBF9532" w14:textId="77777777" w:rsidR="000A2D32" w:rsidRPr="00914209" w:rsidRDefault="000A2D32" w:rsidP="00341E24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>Use bright colored foods and decor on the salad bar</w:t>
      </w:r>
      <w:r w:rsidR="00914209">
        <w:t xml:space="preserve">. </w:t>
      </w:r>
    </w:p>
    <w:p w14:paraId="5CCBA270" w14:textId="77777777" w:rsidR="00914209" w:rsidRPr="000A2D32" w:rsidRDefault="00914209" w:rsidP="00341E24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 xml:space="preserve">Mix colors in the greens. </w:t>
      </w:r>
    </w:p>
    <w:p w14:paraId="0B238585" w14:textId="77777777" w:rsidR="00914209" w:rsidRPr="000A2D32" w:rsidRDefault="00914209" w:rsidP="00341E24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>Use fewer individual cups to increase visibility of fresh, colorful foods.</w:t>
      </w:r>
    </w:p>
    <w:p w14:paraId="6CC60931" w14:textId="77777777" w:rsidR="000A2D32" w:rsidRPr="000A2D32" w:rsidRDefault="000A2D32" w:rsidP="00341E24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 xml:space="preserve">Give creative and descriptive names such as “fresh broccoli bites.” </w:t>
      </w:r>
    </w:p>
    <w:p w14:paraId="045BA0C1" w14:textId="77777777" w:rsidR="000A2D32" w:rsidRPr="000A2D32" w:rsidRDefault="000A2D32" w:rsidP="00341E24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 xml:space="preserve">Display names on the salad bar and elsewhere in the lunchroom (i.e., a chalkboard). </w:t>
      </w:r>
    </w:p>
    <w:p w14:paraId="4A32BAA5" w14:textId="5DD2AE66" w:rsidR="000A2D32" w:rsidRPr="000A2D32" w:rsidRDefault="000A2D32" w:rsidP="00341E24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 xml:space="preserve">Change the offerings periodically so students </w:t>
      </w:r>
      <w:r w:rsidR="00FB660A">
        <w:t xml:space="preserve">are not bored. </w:t>
      </w:r>
      <w:r>
        <w:t xml:space="preserve"> </w:t>
      </w:r>
    </w:p>
    <w:p w14:paraId="172F1E11" w14:textId="77777777" w:rsidR="000A2D32" w:rsidRPr="000A2D32" w:rsidRDefault="000A2D32" w:rsidP="00341E24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 xml:space="preserve">Try braising, roasting, or blanching items </w:t>
      </w:r>
      <w:r w:rsidR="00914209">
        <w:t xml:space="preserve">occasionally </w:t>
      </w:r>
      <w:r>
        <w:t xml:space="preserve">for variety. </w:t>
      </w:r>
    </w:p>
    <w:p w14:paraId="05A128A7" w14:textId="77777777" w:rsidR="000A2D32" w:rsidRPr="000A2D32" w:rsidRDefault="000A2D32" w:rsidP="00341E24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 xml:space="preserve">Try whole fruits in attractive bowls instead of chafing dishes. </w:t>
      </w:r>
    </w:p>
    <w:p w14:paraId="12A1442B" w14:textId="77777777" w:rsidR="000A2D32" w:rsidRPr="000A2D32" w:rsidRDefault="000A2D32" w:rsidP="00341E24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>Utilize the HOM Point-of-Sale signage with the farm name and location highlighted.</w:t>
      </w:r>
    </w:p>
    <w:p w14:paraId="4FC0F39F" w14:textId="77777777" w:rsidR="000A2D32" w:rsidRPr="000A2D32" w:rsidRDefault="000A2D32" w:rsidP="00341E24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 xml:space="preserve">Place the salad bar in a location where students can fill up their tray first with salad before selecting the hot entrée. </w:t>
      </w:r>
    </w:p>
    <w:p w14:paraId="384EF7F9" w14:textId="77777777" w:rsidR="000A2D32" w:rsidRPr="000A2D32" w:rsidRDefault="000A2D32" w:rsidP="00927676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 xml:space="preserve">Get students excited about produce by growing the Harvest of the Month featured items </w:t>
      </w:r>
      <w:proofErr w:type="gramStart"/>
      <w:r>
        <w:t>in</w:t>
      </w:r>
      <w:proofErr w:type="gramEnd"/>
      <w:r>
        <w:t xml:space="preserve"> a school garden, taking them on farm field trips, or inviting farmers or chefs to classrooms and cafeterias. </w:t>
      </w:r>
    </w:p>
    <w:p w14:paraId="488BE3CC" w14:textId="76797524" w:rsidR="000A2D32" w:rsidRPr="00341E24" w:rsidRDefault="000A2D32" w:rsidP="00341E24">
      <w:pPr>
        <w:pStyle w:val="TNRNormal"/>
        <w:numPr>
          <w:ilvl w:val="0"/>
          <w:numId w:val="1"/>
        </w:numPr>
        <w:spacing w:line="360" w:lineRule="auto"/>
        <w:rPr>
          <w:b/>
        </w:rPr>
      </w:pPr>
      <w:r>
        <w:t xml:space="preserve">Consider purchasing and freezing local produce in season </w:t>
      </w:r>
      <w:r w:rsidR="00033EB7">
        <w:t>and</w:t>
      </w:r>
      <w:r>
        <w:t xml:space="preserve"> shifting the type</w:t>
      </w:r>
      <w:r w:rsidR="00033EB7">
        <w:t>s</w:t>
      </w:r>
      <w:r>
        <w:t xml:space="preserve"> of produce offered </w:t>
      </w:r>
      <w:r w:rsidR="00AC6FB4">
        <w:t xml:space="preserve">during </w:t>
      </w:r>
      <w:r>
        <w:t>the off-season</w:t>
      </w:r>
      <w:r w:rsidR="00033EB7">
        <w:t>.</w:t>
      </w:r>
    </w:p>
    <w:p w14:paraId="39AEE8DE" w14:textId="77777777" w:rsidR="00341E24" w:rsidRDefault="00341E24" w:rsidP="00341E24">
      <w:pPr>
        <w:pStyle w:val="TNRHeading2"/>
      </w:pPr>
      <w:r>
        <w:lastRenderedPageBreak/>
        <w:t xml:space="preserve">Resources: </w:t>
      </w:r>
    </w:p>
    <w:p w14:paraId="06286BBC" w14:textId="77777777" w:rsidR="00341E24" w:rsidRDefault="00341E24" w:rsidP="00341E24">
      <w:pPr>
        <w:pStyle w:val="TNRNormal"/>
        <w:rPr>
          <w:rStyle w:val="Hyperlink"/>
        </w:rPr>
      </w:pPr>
      <w:r>
        <w:t xml:space="preserve">Center for Disease Control: Promoting and Supporting School Salad Bars. Accessed online 8 Jan 2020. </w:t>
      </w:r>
      <w:hyperlink r:id="rId6" w:history="1">
        <w:r>
          <w:rPr>
            <w:rStyle w:val="Hyperlink"/>
          </w:rPr>
          <w:t>https://www.cdc.gov/nccdphp/dnpao/state-local-programs/pdf/promoting_supporting_school_saladbars.pdf.pdf</w:t>
        </w:r>
      </w:hyperlink>
    </w:p>
    <w:p w14:paraId="57B9D207" w14:textId="77777777" w:rsidR="00341E24" w:rsidRDefault="00341E24" w:rsidP="00341E24">
      <w:pPr>
        <w:pStyle w:val="TNRNormal"/>
        <w:rPr>
          <w:rStyle w:val="Hyperlink"/>
        </w:rPr>
      </w:pPr>
    </w:p>
    <w:p w14:paraId="0EBB425E" w14:textId="77777777" w:rsidR="00341E24" w:rsidRDefault="00341E24" w:rsidP="00341E24">
      <w:pPr>
        <w:pStyle w:val="TNRNormal"/>
        <w:spacing w:after="240"/>
      </w:pPr>
      <w:r>
        <w:t xml:space="preserve">The Lunch Box: Salad Bars. Accessed online 8 Jan 2020. </w:t>
      </w:r>
      <w:hyperlink r:id="rId7" w:history="1">
        <w:r w:rsidRPr="00341E24">
          <w:rPr>
            <w:rStyle w:val="Hyperlink"/>
            <w:color w:val="0070C0"/>
          </w:rPr>
          <w:t>http://www.thelunchbox.org/programs/salad-bars/operations/?tab=menu-planning-recipe</w:t>
        </w:r>
      </w:hyperlink>
    </w:p>
    <w:p w14:paraId="40EDD23C" w14:textId="09509A36" w:rsidR="00341E24" w:rsidRDefault="00341E24" w:rsidP="002776EE">
      <w:pPr>
        <w:pStyle w:val="TNRNormal"/>
        <w:spacing w:after="240"/>
        <w:rPr>
          <w:rStyle w:val="Hyperlink"/>
        </w:rPr>
      </w:pPr>
      <w:r>
        <w:t xml:space="preserve">Photographing School Food: A Practical Guide to Making California School Meals Look Great. Accessed online 8 Jan 2020. </w:t>
      </w:r>
      <w:hyperlink r:id="rId8" w:history="1">
        <w:r>
          <w:rPr>
            <w:rStyle w:val="Hyperlink"/>
          </w:rPr>
          <w:t>https://www.ecoliteracy.org/download/photographing-school-food-practical-guide-making-california-school-meals-look-great</w:t>
        </w:r>
      </w:hyperlink>
    </w:p>
    <w:p w14:paraId="7438C27C" w14:textId="0AB18500" w:rsidR="002776EE" w:rsidRPr="002776EE" w:rsidRDefault="002776EE" w:rsidP="002776EE">
      <w:pPr>
        <w:pStyle w:val="TNRNormal"/>
        <w:spacing w:after="240"/>
        <w:jc w:val="center"/>
        <w:rPr>
          <w:rStyle w:val="Hyperlink"/>
          <w:u w:val="none"/>
        </w:rPr>
      </w:pPr>
      <w:r w:rsidRPr="002776EE">
        <w:rPr>
          <w:noProof/>
          <w:color w:val="0563C1" w:themeColor="hyperlink"/>
        </w:rPr>
        <w:drawing>
          <wp:inline distT="0" distB="0" distL="0" distR="0" wp14:anchorId="5747FB69" wp14:editId="725C32BC">
            <wp:extent cx="1482959" cy="1381125"/>
            <wp:effectExtent l="0" t="0" r="3175" b="0"/>
            <wp:docPr id="2" name="Picture 2" descr="Virginia Farm to School Logo" title="Virginia Farm to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Farm2School BlkW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68" cy="139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766C2E" w14:textId="77777777" w:rsidR="002776EE" w:rsidRPr="002776EE" w:rsidRDefault="002776EE" w:rsidP="002776EE">
      <w:pPr>
        <w:pStyle w:val="TNRNormal"/>
        <w:spacing w:after="240"/>
      </w:pPr>
    </w:p>
    <w:sectPr w:rsidR="002776EE" w:rsidRPr="00277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8A8"/>
    <w:multiLevelType w:val="hybridMultilevel"/>
    <w:tmpl w:val="5434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32"/>
    <w:rsid w:val="00033EB7"/>
    <w:rsid w:val="000A2D32"/>
    <w:rsid w:val="00103808"/>
    <w:rsid w:val="002776EE"/>
    <w:rsid w:val="00316F5F"/>
    <w:rsid w:val="00341E24"/>
    <w:rsid w:val="00604E60"/>
    <w:rsid w:val="006200DA"/>
    <w:rsid w:val="007E16F1"/>
    <w:rsid w:val="00876284"/>
    <w:rsid w:val="008F0662"/>
    <w:rsid w:val="00914209"/>
    <w:rsid w:val="00927676"/>
    <w:rsid w:val="009F5312"/>
    <w:rsid w:val="00AC6FB4"/>
    <w:rsid w:val="00C778BD"/>
    <w:rsid w:val="00D81EB2"/>
    <w:rsid w:val="00F03A88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66C1"/>
  <w15:chartTrackingRefBased/>
  <w15:docId w15:val="{255857F0-F101-4B97-91BB-2181811D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2"/>
    <w:rPr>
      <w:rFonts w:ascii="Times New Roman" w:hAnsi="Times New Roman"/>
      <w:sz w:val="24"/>
    </w:rPr>
  </w:style>
  <w:style w:type="paragraph" w:styleId="Heading1">
    <w:name w:val="heading 1"/>
    <w:aliases w:val="TNR Heading 1"/>
    <w:basedOn w:val="Normal"/>
    <w:link w:val="Heading1Char"/>
    <w:qFormat/>
    <w:rsid w:val="007E16F1"/>
    <w:pPr>
      <w:spacing w:after="240" w:line="240" w:lineRule="auto"/>
      <w:jc w:val="center"/>
      <w:outlineLvl w:val="0"/>
    </w:pPr>
    <w:rPr>
      <w:rFonts w:eastAsia="Calibri" w:cs="Calibri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NR Heading 1 Char"/>
    <w:basedOn w:val="DefaultParagraphFont"/>
    <w:link w:val="Heading1"/>
    <w:rsid w:val="007E16F1"/>
    <w:rPr>
      <w:rFonts w:ascii="Times New Roman" w:eastAsia="Calibri" w:hAnsi="Times New Roman" w:cs="Calibri"/>
      <w:b/>
      <w:sz w:val="44"/>
    </w:rPr>
  </w:style>
  <w:style w:type="paragraph" w:customStyle="1" w:styleId="Title1">
    <w:name w:val="Title 1"/>
    <w:basedOn w:val="Normal"/>
    <w:link w:val="Title1Char"/>
    <w:qFormat/>
    <w:rsid w:val="00876284"/>
    <w:pPr>
      <w:spacing w:line="360" w:lineRule="auto"/>
      <w:jc w:val="center"/>
    </w:pPr>
    <w:rPr>
      <w:b/>
      <w:sz w:val="44"/>
    </w:rPr>
  </w:style>
  <w:style w:type="character" w:customStyle="1" w:styleId="Title1Char">
    <w:name w:val="Title 1 Char"/>
    <w:basedOn w:val="DefaultParagraphFont"/>
    <w:link w:val="Title1"/>
    <w:rsid w:val="00876284"/>
    <w:rPr>
      <w:rFonts w:ascii="Times New Roman" w:hAnsi="Times New Roman"/>
      <w:b/>
      <w:sz w:val="44"/>
    </w:rPr>
  </w:style>
  <w:style w:type="paragraph" w:customStyle="1" w:styleId="TNRNormal">
    <w:name w:val="TNR Normal"/>
    <w:basedOn w:val="TNRHeading3"/>
    <w:link w:val="TNRNormalChar"/>
    <w:qFormat/>
    <w:rsid w:val="00C778BD"/>
    <w:pPr>
      <w:spacing w:before="0" w:after="0"/>
    </w:pPr>
    <w:rPr>
      <w:b w:val="0"/>
      <w:sz w:val="24"/>
    </w:rPr>
  </w:style>
  <w:style w:type="character" w:customStyle="1" w:styleId="TNRNormalChar">
    <w:name w:val="TNR Normal Char"/>
    <w:basedOn w:val="TNRHeading3Char"/>
    <w:link w:val="TNRNormal"/>
    <w:rsid w:val="00C778BD"/>
    <w:rPr>
      <w:rFonts w:ascii="Times New Roman" w:eastAsia="Calibri" w:hAnsi="Times New Roman" w:cs="Times New Roman"/>
      <w:b w:val="0"/>
      <w:sz w:val="24"/>
    </w:rPr>
  </w:style>
  <w:style w:type="paragraph" w:customStyle="1" w:styleId="TNRHeading2">
    <w:name w:val="TNR Heading 2"/>
    <w:basedOn w:val="Heading1"/>
    <w:link w:val="TNRHeading2Char"/>
    <w:qFormat/>
    <w:rsid w:val="007E16F1"/>
    <w:pPr>
      <w:spacing w:before="120"/>
      <w:jc w:val="left"/>
      <w:outlineLvl w:val="9"/>
    </w:pPr>
    <w:rPr>
      <w:sz w:val="32"/>
    </w:rPr>
  </w:style>
  <w:style w:type="character" w:customStyle="1" w:styleId="TNRHeading2Char">
    <w:name w:val="TNR Heading 2 Char"/>
    <w:basedOn w:val="Heading1Char"/>
    <w:link w:val="TNRHeading2"/>
    <w:rsid w:val="007E16F1"/>
    <w:rPr>
      <w:rFonts w:ascii="Times New Roman" w:eastAsia="Calibri" w:hAnsi="Times New Roman" w:cs="Calibri"/>
      <w:b/>
      <w:sz w:val="32"/>
    </w:rPr>
  </w:style>
  <w:style w:type="paragraph" w:customStyle="1" w:styleId="TNRHeading3">
    <w:name w:val="TNR Heading 3"/>
    <w:basedOn w:val="TNRHeading2"/>
    <w:link w:val="TNRHeading3Char"/>
    <w:qFormat/>
    <w:rsid w:val="00876284"/>
    <w:pPr>
      <w:spacing w:after="120"/>
    </w:pPr>
    <w:rPr>
      <w:rFonts w:cs="Times New Roman"/>
      <w:sz w:val="28"/>
    </w:rPr>
  </w:style>
  <w:style w:type="character" w:customStyle="1" w:styleId="TNRHeading3Char">
    <w:name w:val="TNR Heading 3 Char"/>
    <w:basedOn w:val="TNRHeading2Char"/>
    <w:link w:val="TNRHeading3"/>
    <w:rsid w:val="00876284"/>
    <w:rPr>
      <w:rFonts w:ascii="Times New Roman" w:eastAsia="Calibri" w:hAnsi="Times New Roman" w:cs="Times New Roman"/>
      <w:b/>
      <w:sz w:val="28"/>
    </w:rPr>
  </w:style>
  <w:style w:type="character" w:styleId="Hyperlink">
    <w:name w:val="Hyperlink"/>
    <w:basedOn w:val="DefaultParagraphFont"/>
    <w:uiPriority w:val="99"/>
    <w:unhideWhenUsed/>
    <w:rsid w:val="00341E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E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0D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0D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iteracy.org/download/photographing-school-food-practical-guide-making-california-school-meals-look-gre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lunchbox.org/programs/salad-bars/operations/?tab=menu-planning-reci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nccdphp/dnpao/state-local-programs/pdf/promoting_supporting_school_saladbars.pdf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Trista (DOE)</dc:creator>
  <cp:keywords/>
  <dc:description/>
  <cp:lastModifiedBy>Grigsby, Trista (DOE)</cp:lastModifiedBy>
  <cp:revision>4</cp:revision>
  <dcterms:created xsi:type="dcterms:W3CDTF">2020-02-20T18:41:00Z</dcterms:created>
  <dcterms:modified xsi:type="dcterms:W3CDTF">2020-02-20T19:03:00Z</dcterms:modified>
</cp:coreProperties>
</file>